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8" w:type="dxa"/>
        <w:tblCellMar>
          <w:left w:w="10" w:type="dxa"/>
          <w:right w:w="10" w:type="dxa"/>
        </w:tblCellMar>
        <w:tblLook w:val="04A0" w:firstRow="1" w:lastRow="0" w:firstColumn="1" w:lastColumn="0" w:noHBand="0" w:noVBand="1"/>
      </w:tblPr>
      <w:tblGrid>
        <w:gridCol w:w="9638"/>
      </w:tblGrid>
      <w:tr w:rsidR="00C678BE" w14:paraId="43738ACD" w14:textId="77777777">
        <w:tblPrEx>
          <w:tblCellMar>
            <w:top w:w="0" w:type="dxa"/>
            <w:bottom w:w="0" w:type="dxa"/>
          </w:tblCellMar>
        </w:tblPrEx>
        <w:tc>
          <w:tcPr>
            <w:tcW w:w="9638" w:type="dxa"/>
            <w:shd w:val="clear" w:color="auto" w:fill="1E6E43"/>
            <w:tcMar>
              <w:top w:w="220" w:type="dxa"/>
              <w:left w:w="260" w:type="dxa"/>
              <w:bottom w:w="220" w:type="dxa"/>
              <w:right w:w="260" w:type="dxa"/>
            </w:tcMar>
          </w:tcPr>
          <w:p w14:paraId="6A290C69" w14:textId="77777777" w:rsidR="00C678BE" w:rsidRDefault="0010703F">
            <w:pPr>
              <w:spacing w:after="60"/>
            </w:pPr>
            <w:r>
              <w:rPr>
                <w:b/>
                <w:bCs/>
                <w:caps/>
                <w:color w:val="C9E4D2"/>
                <w:sz w:val="18"/>
                <w:szCs w:val="18"/>
              </w:rPr>
              <w:t>Argumentaire de besoin</w:t>
            </w:r>
          </w:p>
          <w:p w14:paraId="43CE1A5F" w14:textId="77777777" w:rsidR="00C678BE" w:rsidRDefault="0010703F">
            <w:pPr>
              <w:spacing w:after="60"/>
            </w:pPr>
            <w:r>
              <w:rPr>
                <w:b/>
                <w:bCs/>
                <w:color w:val="FFFFFF"/>
                <w:sz w:val="32"/>
                <w:szCs w:val="32"/>
              </w:rPr>
              <w:t>Coloration « Transition écologique et décarbonation »</w:t>
            </w:r>
          </w:p>
          <w:p w14:paraId="54D67C83" w14:textId="77777777" w:rsidR="00C678BE" w:rsidRDefault="0010703F">
            <w:r>
              <w:rPr>
                <w:color w:val="E4F1E9"/>
                <w:sz w:val="20"/>
                <w:szCs w:val="20"/>
              </w:rPr>
              <w:t>Filière Conducteur routier de marchandises — CAP CRM &amp; Bac Pro CTRM</w:t>
            </w:r>
          </w:p>
        </w:tc>
      </w:tr>
    </w:tbl>
    <w:p w14:paraId="42A0B2D0" w14:textId="77777777" w:rsidR="00C678BE" w:rsidRDefault="00C678BE">
      <w:pPr>
        <w:spacing w:after="160"/>
      </w:pPr>
    </w:p>
    <w:tbl>
      <w:tblPr>
        <w:tblW w:w="9638" w:type="dxa"/>
        <w:tblCellMar>
          <w:left w:w="10" w:type="dxa"/>
          <w:right w:w="10" w:type="dxa"/>
        </w:tblCellMar>
        <w:tblLook w:val="04A0" w:firstRow="1" w:lastRow="0" w:firstColumn="1" w:lastColumn="0" w:noHBand="0" w:noVBand="1"/>
      </w:tblPr>
      <w:tblGrid>
        <w:gridCol w:w="2400"/>
        <w:gridCol w:w="7238"/>
      </w:tblGrid>
      <w:tr w:rsidR="00C678BE" w14:paraId="4C28FD1B" w14:textId="77777777">
        <w:tblPrEx>
          <w:tblCellMar>
            <w:top w:w="0" w:type="dxa"/>
            <w:bottom w:w="0" w:type="dxa"/>
          </w:tblCellMar>
        </w:tblPrEx>
        <w:tc>
          <w:tcPr>
            <w:tcW w:w="2400" w:type="dxa"/>
            <w:tcMar>
              <w:top w:w="40" w:type="dxa"/>
              <w:bottom w:w="40" w:type="dxa"/>
              <w:right w:w="120" w:type="dxa"/>
            </w:tcMar>
          </w:tcPr>
          <w:p w14:paraId="29F8B553" w14:textId="77777777" w:rsidR="00C678BE" w:rsidRDefault="0010703F">
            <w:r>
              <w:rPr>
                <w:b/>
                <w:bCs/>
                <w:color w:val="2E7D32"/>
                <w:sz w:val="19"/>
                <w:szCs w:val="19"/>
              </w:rPr>
              <w:t>À l'attention de</w:t>
            </w:r>
          </w:p>
        </w:tc>
        <w:tc>
          <w:tcPr>
            <w:tcW w:w="7238" w:type="dxa"/>
            <w:tcMar>
              <w:top w:w="40" w:type="dxa"/>
              <w:bottom w:w="40" w:type="dxa"/>
            </w:tcMar>
          </w:tcPr>
          <w:p w14:paraId="4550E9E0" w14:textId="77777777" w:rsidR="00C678BE" w:rsidRDefault="0010703F">
            <w:r>
              <w:rPr>
                <w:sz w:val="19"/>
                <w:szCs w:val="19"/>
              </w:rPr>
              <w:t>M./Mme le DAFPIC — Académie d'Aix-Marseille (copie : IEN de la spécialité, CARDIE)</w:t>
            </w:r>
          </w:p>
        </w:tc>
      </w:tr>
      <w:tr w:rsidR="00C678BE" w14:paraId="0FF6A0F9" w14:textId="77777777">
        <w:tblPrEx>
          <w:tblCellMar>
            <w:top w:w="0" w:type="dxa"/>
            <w:bottom w:w="0" w:type="dxa"/>
          </w:tblCellMar>
        </w:tblPrEx>
        <w:tc>
          <w:tcPr>
            <w:tcW w:w="2400" w:type="dxa"/>
            <w:tcMar>
              <w:top w:w="40" w:type="dxa"/>
              <w:bottom w:w="40" w:type="dxa"/>
              <w:right w:w="120" w:type="dxa"/>
            </w:tcMar>
          </w:tcPr>
          <w:p w14:paraId="5B82E0A1" w14:textId="77777777" w:rsidR="00C678BE" w:rsidRDefault="0010703F">
            <w:r>
              <w:rPr>
                <w:b/>
                <w:bCs/>
                <w:color w:val="2E7D32"/>
                <w:sz w:val="19"/>
                <w:szCs w:val="19"/>
              </w:rPr>
              <w:t>Établissement</w:t>
            </w:r>
          </w:p>
        </w:tc>
        <w:tc>
          <w:tcPr>
            <w:tcW w:w="7238" w:type="dxa"/>
            <w:tcMar>
              <w:top w:w="40" w:type="dxa"/>
              <w:bottom w:w="40" w:type="dxa"/>
            </w:tcMar>
          </w:tcPr>
          <w:p w14:paraId="46F068F0" w14:textId="77777777" w:rsidR="00C678BE" w:rsidRDefault="0010703F">
            <w:r>
              <w:rPr>
                <w:sz w:val="19"/>
                <w:szCs w:val="19"/>
              </w:rPr>
              <w:t>Lycée Alexandre Dumas – Cavaillon (UAI 0840113S)</w:t>
            </w:r>
          </w:p>
        </w:tc>
      </w:tr>
      <w:tr w:rsidR="00C678BE" w14:paraId="1FE9E63B" w14:textId="77777777">
        <w:tblPrEx>
          <w:tblCellMar>
            <w:top w:w="0" w:type="dxa"/>
            <w:bottom w:w="0" w:type="dxa"/>
          </w:tblCellMar>
        </w:tblPrEx>
        <w:tc>
          <w:tcPr>
            <w:tcW w:w="2400" w:type="dxa"/>
            <w:tcMar>
              <w:top w:w="40" w:type="dxa"/>
              <w:bottom w:w="40" w:type="dxa"/>
              <w:right w:w="120" w:type="dxa"/>
            </w:tcMar>
          </w:tcPr>
          <w:p w14:paraId="038A2583" w14:textId="77777777" w:rsidR="00C678BE" w:rsidRDefault="0010703F">
            <w:r>
              <w:rPr>
                <w:b/>
                <w:bCs/>
                <w:color w:val="2E7D32"/>
                <w:sz w:val="19"/>
                <w:szCs w:val="19"/>
              </w:rPr>
              <w:t>Objet</w:t>
            </w:r>
          </w:p>
        </w:tc>
        <w:tc>
          <w:tcPr>
            <w:tcW w:w="7238" w:type="dxa"/>
            <w:tcMar>
              <w:top w:w="40" w:type="dxa"/>
              <w:bottom w:w="40" w:type="dxa"/>
            </w:tcMar>
          </w:tcPr>
          <w:p w14:paraId="65CDB6C7" w14:textId="77777777" w:rsidR="00C678BE" w:rsidRDefault="0010703F">
            <w:r>
              <w:rPr>
                <w:sz w:val="19"/>
                <w:szCs w:val="19"/>
              </w:rPr>
              <w:t>Reconnaissance d'une coloration décarbonation du CAP CRM et du Bac Pro CTRM</w:t>
            </w:r>
          </w:p>
        </w:tc>
      </w:tr>
      <w:tr w:rsidR="00C678BE" w14:paraId="22783A4E" w14:textId="77777777">
        <w:tblPrEx>
          <w:tblCellMar>
            <w:top w:w="0" w:type="dxa"/>
            <w:bottom w:w="0" w:type="dxa"/>
          </w:tblCellMar>
        </w:tblPrEx>
        <w:tc>
          <w:tcPr>
            <w:tcW w:w="2400" w:type="dxa"/>
            <w:tcMar>
              <w:top w:w="40" w:type="dxa"/>
              <w:bottom w:w="40" w:type="dxa"/>
              <w:right w:w="120" w:type="dxa"/>
            </w:tcMar>
          </w:tcPr>
          <w:p w14:paraId="6B323B86" w14:textId="77777777" w:rsidR="00C678BE" w:rsidRDefault="0010703F">
            <w:r>
              <w:rPr>
                <w:b/>
                <w:bCs/>
                <w:color w:val="2E7D32"/>
                <w:sz w:val="19"/>
                <w:szCs w:val="19"/>
              </w:rPr>
              <w:t>Rédacteur / Date</w:t>
            </w:r>
          </w:p>
        </w:tc>
        <w:tc>
          <w:tcPr>
            <w:tcW w:w="7238" w:type="dxa"/>
            <w:tcMar>
              <w:top w:w="40" w:type="dxa"/>
              <w:bottom w:w="40" w:type="dxa"/>
            </w:tcMar>
          </w:tcPr>
          <w:p w14:paraId="01227892" w14:textId="5C5852FC" w:rsidR="00C678BE" w:rsidRDefault="0010703F">
            <w:r>
              <w:rPr>
                <w:sz w:val="19"/>
                <w:szCs w:val="19"/>
              </w:rPr>
              <w:t>Stéphane BETORZ</w:t>
            </w:r>
            <w:r>
              <w:rPr>
                <w:sz w:val="19"/>
                <w:szCs w:val="19"/>
              </w:rPr>
              <w:t xml:space="preserve"> · le 10/09/2026</w:t>
            </w:r>
          </w:p>
        </w:tc>
      </w:tr>
    </w:tbl>
    <w:p w14:paraId="79617DD4" w14:textId="77777777" w:rsidR="00C678BE" w:rsidRDefault="0010703F">
      <w:pPr>
        <w:pBdr>
          <w:bottom w:val="single" w:sz="8" w:space="5" w:color="9CC5A9"/>
        </w:pBdr>
        <w:spacing w:before="320" w:after="130"/>
      </w:pPr>
      <w:r>
        <w:rPr>
          <w:b/>
          <w:bCs/>
          <w:color w:val="1E6E43"/>
          <w:sz w:val="26"/>
          <w:szCs w:val="26"/>
        </w:rPr>
        <w:t>1. Le besoin</w:t>
      </w:r>
    </w:p>
    <w:p w14:paraId="2C251BE6" w14:textId="77777777" w:rsidR="00C678BE" w:rsidRDefault="0010703F">
      <w:pPr>
        <w:spacing w:after="130"/>
        <w:jc w:val="both"/>
      </w:pPr>
      <w:r>
        <w:t>La décarbonation du transport routier de marchandises est un enjeu national prioritaire. Les entreprises renouvellent leurs flottes vers l'électrique, le GNV et, à terme, l'hydrogène, et recherchent des conducteurs formés à ces motorisations et à l'écoconduite.</w:t>
      </w:r>
    </w:p>
    <w:p w14:paraId="26AC1BC0" w14:textId="77777777" w:rsidR="00C678BE" w:rsidRDefault="0010703F">
      <w:pPr>
        <w:spacing w:after="130"/>
        <w:jc w:val="both"/>
      </w:pPr>
      <w:r>
        <w:t>Or les référentiels du CAP Conducteur routier marchandises et du Bac Pro Conducteur transport routier marchandises restent construits autour de la motorisation thermique. Les jeunes que nous formons entrent sur un marché du travail dont les besoins ont déjà changé, sans que la formation initiale n'ait été ajustée au niveau national. Ce décalage constitue un risque d'employabilité pour nos élèves et un signal négatif pour un secteur en tension de recrutement.</w:t>
      </w:r>
    </w:p>
    <w:p w14:paraId="33B15C62" w14:textId="77777777" w:rsidR="00C678BE" w:rsidRDefault="0010703F">
      <w:pPr>
        <w:pBdr>
          <w:bottom w:val="single" w:sz="8" w:space="5" w:color="9CC5A9"/>
        </w:pBdr>
        <w:spacing w:before="320" w:after="130"/>
      </w:pPr>
      <w:r>
        <w:rPr>
          <w:b/>
          <w:bCs/>
          <w:color w:val="1E6E43"/>
          <w:sz w:val="26"/>
          <w:szCs w:val="26"/>
        </w:rPr>
        <w:t>2. La réponse proposée</w:t>
      </w:r>
    </w:p>
    <w:p w14:paraId="3631E7F4" w14:textId="77777777" w:rsidR="00C678BE" w:rsidRDefault="0010703F">
      <w:pPr>
        <w:spacing w:after="130"/>
        <w:jc w:val="both"/>
      </w:pPr>
      <w:r>
        <w:t xml:space="preserve">Nous proposons de </w:t>
      </w:r>
      <w:r>
        <w:rPr>
          <w:b/>
          <w:bCs/>
        </w:rPr>
        <w:t>colorer</w:t>
      </w:r>
      <w:r>
        <w:t xml:space="preserve"> les deux diplômes sur la transition écologique et la décarbonation, sans modifier le référentiel national ni les modalités de certification. La coloration réoriente la mise en œuvre pédagogique : plateaux, situations professionnelles, PFMP et projets sont fléchés vers les motorisations décarbonées et l'écoconduite.</w:t>
      </w:r>
    </w:p>
    <w:p w14:paraId="339C5901" w14:textId="77777777" w:rsidR="00C678BE" w:rsidRDefault="0010703F">
      <w:pPr>
        <w:spacing w:after="130"/>
        <w:jc w:val="both"/>
      </w:pPr>
      <w:r>
        <w:t>Concrètement, la conduite et la préparation des permis de la filière s'appuient sur des véhicules électriques : la coloration s'incarne dans le plateau technique et le déroulé de formation, pas seulement dans un intitulé.</w:t>
      </w:r>
    </w:p>
    <w:p w14:paraId="100F3B48" w14:textId="77777777" w:rsidR="00C678BE" w:rsidRDefault="0010703F">
      <w:pPr>
        <w:pBdr>
          <w:bottom w:val="single" w:sz="8" w:space="5" w:color="9CC5A9"/>
        </w:pBdr>
        <w:spacing w:before="320" w:after="130"/>
      </w:pPr>
      <w:r>
        <w:rPr>
          <w:b/>
          <w:bCs/>
          <w:color w:val="1E6E43"/>
          <w:sz w:val="26"/>
          <w:szCs w:val="26"/>
        </w:rPr>
        <w:t>3. Une réponse alignée sur les priorités</w:t>
      </w:r>
    </w:p>
    <w:p w14:paraId="3361EA4F" w14:textId="77777777" w:rsidR="00C678BE" w:rsidRDefault="0010703F">
      <w:pPr>
        <w:pStyle w:val="Paragraphedeliste"/>
        <w:numPr>
          <w:ilvl w:val="0"/>
          <w:numId w:val="2"/>
        </w:numPr>
        <w:spacing w:after="60"/>
      </w:pPr>
      <w:r>
        <w:rPr>
          <w:b/>
          <w:bCs/>
        </w:rPr>
        <w:t>Priorité nationale</w:t>
      </w:r>
      <w:r>
        <w:t xml:space="preserve"> : contribution directe à la décarbonation des transports dans la voie professionnelle.</w:t>
      </w:r>
    </w:p>
    <w:p w14:paraId="4E66B888" w14:textId="77777777" w:rsidR="00C678BE" w:rsidRDefault="0010703F">
      <w:pPr>
        <w:pStyle w:val="Paragraphedeliste"/>
        <w:numPr>
          <w:ilvl w:val="0"/>
          <w:numId w:val="2"/>
        </w:numPr>
        <w:spacing w:after="60"/>
      </w:pPr>
      <w:r>
        <w:rPr>
          <w:b/>
          <w:bCs/>
        </w:rPr>
        <w:t>Priorité académique</w:t>
      </w:r>
      <w:r>
        <w:t xml:space="preserve"> : réponse aux besoins d'un bassin d'emploi en transformation et à la tension de recrutement de la filière conduite.</w:t>
      </w:r>
    </w:p>
    <w:p w14:paraId="55C21F75" w14:textId="77777777" w:rsidR="00C678BE" w:rsidRDefault="0010703F">
      <w:pPr>
        <w:pStyle w:val="Paragraphedeliste"/>
        <w:numPr>
          <w:ilvl w:val="0"/>
          <w:numId w:val="2"/>
        </w:numPr>
        <w:spacing w:after="60"/>
      </w:pPr>
      <w:r>
        <w:rPr>
          <w:b/>
          <w:bCs/>
        </w:rPr>
        <w:t>Insertion</w:t>
      </w:r>
      <w:r>
        <w:t xml:space="preserve"> : employabilité immédiate renforcée des diplômés auprès d'entreprises en transition de flotte.</w:t>
      </w:r>
    </w:p>
    <w:p w14:paraId="133DB47B" w14:textId="77777777" w:rsidR="00C678BE" w:rsidRDefault="0010703F">
      <w:pPr>
        <w:pBdr>
          <w:bottom w:val="single" w:sz="8" w:space="5" w:color="9CC5A9"/>
        </w:pBdr>
        <w:spacing w:before="320" w:after="130"/>
      </w:pPr>
      <w:r>
        <w:rPr>
          <w:b/>
          <w:bCs/>
          <w:color w:val="1E6E43"/>
          <w:sz w:val="26"/>
          <w:szCs w:val="26"/>
        </w:rPr>
        <w:t>4. Une démarche déjà engagée</w:t>
      </w:r>
    </w:p>
    <w:p w14:paraId="41419884" w14:textId="77777777" w:rsidR="00C678BE" w:rsidRDefault="0010703F">
      <w:pPr>
        <w:spacing w:after="130"/>
        <w:jc w:val="both"/>
      </w:pPr>
      <w:r>
        <w:t>Le projet ne part pas de zéro. Il mobilise plusieurs atouts :</w:t>
      </w:r>
    </w:p>
    <w:p w14:paraId="0C84E4E3" w14:textId="1966AA39" w:rsidR="00C678BE" w:rsidRDefault="0010703F">
      <w:pPr>
        <w:pStyle w:val="Paragraphedeliste"/>
        <w:numPr>
          <w:ilvl w:val="0"/>
          <w:numId w:val="2"/>
        </w:numPr>
        <w:spacing w:after="60"/>
      </w:pPr>
      <w:r>
        <w:rPr>
          <w:b/>
          <w:bCs/>
        </w:rPr>
        <w:t>Une</w:t>
      </w:r>
      <w:r>
        <w:rPr>
          <w:b/>
          <w:bCs/>
        </w:rPr>
        <w:t xml:space="preserve"> action pédagogique innovante conduite VE</w:t>
      </w:r>
      <w:r>
        <w:t>, en cours de création par le porteur, qui constituera le socle de la coloration ;</w:t>
      </w:r>
    </w:p>
    <w:p w14:paraId="614D7F47" w14:textId="219A0757" w:rsidR="00C678BE" w:rsidRDefault="0010703F">
      <w:pPr>
        <w:pStyle w:val="Paragraphedeliste"/>
        <w:numPr>
          <w:ilvl w:val="0"/>
          <w:numId w:val="2"/>
        </w:numPr>
        <w:spacing w:after="60"/>
      </w:pPr>
      <w:r>
        <w:rPr>
          <w:b/>
          <w:bCs/>
        </w:rPr>
        <w:t>Un</w:t>
      </w:r>
      <w:r>
        <w:rPr>
          <w:b/>
          <w:bCs/>
        </w:rPr>
        <w:t xml:space="preserve"> partenariat AFT actif</w:t>
      </w:r>
      <w:r>
        <w:t xml:space="preserve"> (dotation récente d'un tracteur routier </w:t>
      </w:r>
      <w:proofErr w:type="gramStart"/>
      <w:r>
        <w:t>neuf thermique</w:t>
      </w:r>
      <w:proofErr w:type="gramEnd"/>
      <w:r>
        <w:t xml:space="preserve"> via la convention AFT / Éducation nationale — équipement hors plateau décarboné) ;</w:t>
      </w:r>
    </w:p>
    <w:p w14:paraId="7518A413" w14:textId="52E162A5" w:rsidR="00C678BE" w:rsidRDefault="0010703F">
      <w:pPr>
        <w:pStyle w:val="Paragraphedeliste"/>
        <w:numPr>
          <w:ilvl w:val="0"/>
          <w:numId w:val="2"/>
        </w:numPr>
        <w:spacing w:after="60"/>
      </w:pPr>
      <w:r>
        <w:rPr>
          <w:b/>
          <w:bCs/>
        </w:rPr>
        <w:lastRenderedPageBreak/>
        <w:t>Des</w:t>
      </w:r>
      <w:r>
        <w:rPr>
          <w:b/>
          <w:bCs/>
        </w:rPr>
        <w:t xml:space="preserve"> contacts constructeurs</w:t>
      </w:r>
      <w:r>
        <w:t xml:space="preserve"> — GCA Trucks, DAF</w:t>
      </w:r>
      <w:r>
        <w:t>— amorcés, sans engagement à ce stade, à transformer en partenariats ;</w:t>
      </w:r>
    </w:p>
    <w:p w14:paraId="4D5B7293" w14:textId="195D2B63" w:rsidR="00C678BE" w:rsidRDefault="0010703F">
      <w:pPr>
        <w:pStyle w:val="Paragraphedeliste"/>
        <w:numPr>
          <w:ilvl w:val="0"/>
          <w:numId w:val="2"/>
        </w:numPr>
        <w:spacing w:after="60"/>
      </w:pPr>
      <w:r>
        <w:rPr>
          <w:b/>
          <w:bCs/>
        </w:rPr>
        <w:t>Une</w:t>
      </w:r>
      <w:r>
        <w:rPr>
          <w:b/>
          <w:bCs/>
        </w:rPr>
        <w:t xml:space="preserve"> expertise enseignante</w:t>
      </w:r>
      <w:r>
        <w:t xml:space="preserve"> en conduite VE et un accès aux vecteurs d'ingénierie (GRETA / GIP-FCIP).</w:t>
      </w:r>
    </w:p>
    <w:p w14:paraId="48474D0A" w14:textId="77777777" w:rsidR="00C678BE" w:rsidRDefault="0010703F">
      <w:pPr>
        <w:spacing w:after="130"/>
        <w:jc w:val="both"/>
      </w:pPr>
      <w:r>
        <w:t>La coloration s'inscrit ainsi dans une dynamique portée par l'établissement ; l'enjeu est d'en sécuriser la reconnaissance et les moyens.</w:t>
      </w:r>
    </w:p>
    <w:p w14:paraId="72635817" w14:textId="77777777" w:rsidR="00C678BE" w:rsidRDefault="0010703F">
      <w:pPr>
        <w:pBdr>
          <w:bottom w:val="single" w:sz="8" w:space="5" w:color="9CC5A9"/>
        </w:pBdr>
        <w:spacing w:before="320" w:after="130"/>
      </w:pPr>
      <w:r>
        <w:rPr>
          <w:b/>
          <w:bCs/>
          <w:color w:val="1E6E43"/>
          <w:sz w:val="26"/>
          <w:szCs w:val="26"/>
        </w:rPr>
        <w:t>5. Le besoin de moyens</w:t>
      </w:r>
    </w:p>
    <w:p w14:paraId="683753ED" w14:textId="77777777" w:rsidR="00C678BE" w:rsidRDefault="0010703F">
      <w:pPr>
        <w:spacing w:after="130"/>
        <w:jc w:val="both"/>
      </w:pPr>
      <w:r>
        <w:t>Le point de tension est le plateau technique : le lycée dispose d'un tracteur thermique récent mais d'aucun véhicule décarboné. La coloration suppose l'acquisition d'un plateau électrique (véhicules et recharge) et la formation des enseignants. Des financements sont recherchés pour cette création, et l'appui de la DAFPIC est déterminant pour la sécuriser.</w:t>
      </w:r>
    </w:p>
    <w:p w14:paraId="2D9BA8C1" w14:textId="77777777" w:rsidR="00C678BE" w:rsidRDefault="0010703F">
      <w:pPr>
        <w:pBdr>
          <w:bottom w:val="single" w:sz="8" w:space="5" w:color="9CC5A9"/>
        </w:pBdr>
        <w:spacing w:before="320" w:after="130"/>
      </w:pPr>
      <w:r>
        <w:rPr>
          <w:b/>
          <w:bCs/>
          <w:color w:val="1E6E43"/>
          <w:sz w:val="26"/>
          <w:szCs w:val="26"/>
        </w:rPr>
        <w:t>6. Plus-value attendue</w:t>
      </w:r>
    </w:p>
    <w:p w14:paraId="47A5BF0B" w14:textId="77777777" w:rsidR="00C678BE" w:rsidRDefault="0010703F">
      <w:pPr>
        <w:pStyle w:val="Paragraphedeliste"/>
        <w:numPr>
          <w:ilvl w:val="0"/>
          <w:numId w:val="2"/>
        </w:numPr>
        <w:spacing w:after="60"/>
      </w:pPr>
      <w:r>
        <w:t>Élèves formés aux motorisations réellement rencontrées en entreprise.</w:t>
      </w:r>
    </w:p>
    <w:p w14:paraId="3C9ED50D" w14:textId="77777777" w:rsidR="00C678BE" w:rsidRDefault="0010703F">
      <w:pPr>
        <w:pStyle w:val="Paragraphedeliste"/>
        <w:numPr>
          <w:ilvl w:val="0"/>
          <w:numId w:val="2"/>
        </w:numPr>
        <w:spacing w:after="60"/>
      </w:pPr>
      <w:r>
        <w:t>Écoconduite ancrée comme compétence transversale.</w:t>
      </w:r>
    </w:p>
    <w:p w14:paraId="34601536" w14:textId="77777777" w:rsidR="00C678BE" w:rsidRDefault="0010703F">
      <w:pPr>
        <w:pStyle w:val="Paragraphedeliste"/>
        <w:numPr>
          <w:ilvl w:val="0"/>
          <w:numId w:val="2"/>
        </w:numPr>
        <w:spacing w:after="60"/>
      </w:pPr>
      <w:r>
        <w:t>Attractivité renforcée de la filière et de l'établissement.</w:t>
      </w:r>
    </w:p>
    <w:p w14:paraId="651A8903" w14:textId="77777777" w:rsidR="00C678BE" w:rsidRDefault="0010703F">
      <w:pPr>
        <w:pStyle w:val="Paragraphedeliste"/>
        <w:numPr>
          <w:ilvl w:val="0"/>
          <w:numId w:val="2"/>
        </w:numPr>
        <w:spacing w:after="60"/>
      </w:pPr>
      <w:r>
        <w:t>Filière-pilote potentielle pour l'académie sur la décarbonation de la conduite.</w:t>
      </w:r>
    </w:p>
    <w:p w14:paraId="46073479" w14:textId="77777777" w:rsidR="00C678BE" w:rsidRDefault="0010703F">
      <w:pPr>
        <w:pBdr>
          <w:bottom w:val="single" w:sz="8" w:space="5" w:color="9CC5A9"/>
        </w:pBdr>
        <w:spacing w:before="320" w:after="130"/>
      </w:pPr>
      <w:r>
        <w:rPr>
          <w:b/>
          <w:bCs/>
          <w:color w:val="1E6E43"/>
          <w:sz w:val="26"/>
          <w:szCs w:val="26"/>
        </w:rPr>
        <w:t>7. Demande</w:t>
      </w:r>
    </w:p>
    <w:p w14:paraId="1D74CD84" w14:textId="77777777" w:rsidR="00C678BE" w:rsidRDefault="0010703F">
      <w:pPr>
        <w:spacing w:after="130"/>
        <w:jc w:val="both"/>
      </w:pPr>
      <w:r>
        <w:t>Nous sollicitons la reconnaissance de cette coloration dans le cadre de la carte des formations, ainsi que l'accompagnement de la DAFPIC pour :</w:t>
      </w:r>
    </w:p>
    <w:p w14:paraId="24FD0657" w14:textId="2EDD1D10" w:rsidR="00C678BE" w:rsidRDefault="0010703F">
      <w:pPr>
        <w:pStyle w:val="Paragraphedeliste"/>
        <w:numPr>
          <w:ilvl w:val="0"/>
          <w:numId w:val="2"/>
        </w:numPr>
        <w:spacing w:after="60"/>
      </w:pPr>
      <w:r>
        <w:t>Sécuriser</w:t>
      </w:r>
      <w:r>
        <w:t xml:space="preserve"> l'inscription de la coloration au projet d'établissement ;</w:t>
      </w:r>
    </w:p>
    <w:p w14:paraId="19E8F2BA" w14:textId="5E28B632" w:rsidR="00C678BE" w:rsidRDefault="0010703F">
      <w:pPr>
        <w:pStyle w:val="Paragraphedeliste"/>
        <w:numPr>
          <w:ilvl w:val="0"/>
          <w:numId w:val="2"/>
        </w:numPr>
        <w:spacing w:after="60"/>
      </w:pPr>
      <w:r>
        <w:t>Appuyer</w:t>
      </w:r>
      <w:r>
        <w:t xml:space="preserve"> la recherche de financement du plateau VE et, le cas échéant, les moyens de formation des enseignants ;</w:t>
      </w:r>
    </w:p>
    <w:p w14:paraId="18B4891D" w14:textId="3DAA8C77" w:rsidR="00C678BE" w:rsidRDefault="0010703F">
      <w:pPr>
        <w:pStyle w:val="Paragraphedeliste"/>
        <w:numPr>
          <w:ilvl w:val="0"/>
          <w:numId w:val="2"/>
        </w:numPr>
        <w:spacing w:after="60"/>
      </w:pPr>
      <w:r>
        <w:t>Articuler</w:t>
      </w:r>
      <w:r>
        <w:t xml:space="preserve"> la démarche avec la CARDIE et l'IEN de la spécialité.</w:t>
      </w:r>
    </w:p>
    <w:p w14:paraId="60FCD235" w14:textId="77777777" w:rsidR="00C678BE" w:rsidRDefault="00C678BE">
      <w:pPr>
        <w:spacing w:after="80"/>
      </w:pPr>
    </w:p>
    <w:p w14:paraId="5E192FB1" w14:textId="52DB8C91" w:rsidR="00C678BE" w:rsidRDefault="00C678BE">
      <w:pPr>
        <w:spacing w:after="130"/>
        <w:jc w:val="both"/>
      </w:pPr>
    </w:p>
    <w:sectPr w:rsidR="00C678BE">
      <w:footerReference w:type="default" r:id="rId7"/>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80E6D" w14:textId="77777777" w:rsidR="0010703F" w:rsidRDefault="0010703F">
      <w:pPr>
        <w:spacing w:line="240" w:lineRule="auto"/>
      </w:pPr>
      <w:r>
        <w:separator/>
      </w:r>
    </w:p>
  </w:endnote>
  <w:endnote w:type="continuationSeparator" w:id="0">
    <w:p w14:paraId="4BC7F2BF" w14:textId="77777777" w:rsidR="0010703F" w:rsidRDefault="001070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0000000000000000000"/>
    <w:charset w:val="00"/>
    <w:family w:val="roman"/>
    <w:notTrueType/>
    <w:pitch w:val="default"/>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EF313" w14:textId="77777777" w:rsidR="00C678BE" w:rsidRDefault="0010703F">
    <w:pPr>
      <w:pBdr>
        <w:top w:val="single" w:sz="4" w:space="6" w:color="C9DDCF"/>
      </w:pBdr>
      <w:tabs>
        <w:tab w:val="right" w:pos="9638"/>
      </w:tabs>
    </w:pPr>
    <w:r>
      <w:rPr>
        <w:color w:val="6B6B6B"/>
        <w:sz w:val="16"/>
        <w:szCs w:val="16"/>
      </w:rPr>
      <w:t>Argumentaire de besoin — Coloration décarbonation CTRM</w:t>
    </w:r>
    <w:r>
      <w:tab/>
    </w:r>
    <w:r>
      <w:rPr>
        <w:color w:val="6B6B6B"/>
        <w:sz w:val="16"/>
        <w:szCs w:val="16"/>
      </w:rPr>
      <w:t xml:space="preserve">Page </w:t>
    </w:r>
    <w:r>
      <w:rPr>
        <w:color w:val="6B6B6B"/>
        <w:sz w:val="16"/>
        <w:szCs w:val="16"/>
      </w:rPr>
      <w:fldChar w:fldCharType="begin"/>
    </w:r>
    <w:r>
      <w:rPr>
        <w:color w:val="6B6B6B"/>
        <w:sz w:val="16"/>
        <w:szCs w:val="16"/>
      </w:rPr>
      <w:instrText>PAGE</w:instrText>
    </w:r>
    <w:r>
      <w:rPr>
        <w:color w:val="6B6B6B"/>
        <w:sz w:val="16"/>
        <w:szCs w:val="16"/>
      </w:rPr>
      <w:fldChar w:fldCharType="separate"/>
    </w:r>
    <w:r>
      <w:rPr>
        <w:noProof/>
        <w:color w:val="6B6B6B"/>
        <w:sz w:val="16"/>
        <w:szCs w:val="16"/>
      </w:rPr>
      <w:t>1</w:t>
    </w:r>
    <w:r>
      <w:rPr>
        <w:color w:val="6B6B6B"/>
        <w:sz w:val="16"/>
        <w:szCs w:val="16"/>
      </w:rPr>
      <w:fldChar w:fldCharType="end"/>
    </w:r>
    <w:r>
      <w:rPr>
        <w:color w:val="6B6B6B"/>
        <w:sz w:val="16"/>
        <w:szCs w:val="16"/>
      </w:rPr>
      <w:t xml:space="preserve"> / </w:t>
    </w:r>
    <w:r>
      <w:rPr>
        <w:color w:val="6B6B6B"/>
        <w:sz w:val="16"/>
        <w:szCs w:val="16"/>
      </w:rPr>
      <w:fldChar w:fldCharType="begin"/>
    </w:r>
    <w:r>
      <w:rPr>
        <w:color w:val="6B6B6B"/>
        <w:sz w:val="16"/>
        <w:szCs w:val="16"/>
      </w:rPr>
      <w:instrText>NUMPAGES</w:instrText>
    </w:r>
    <w:r>
      <w:rPr>
        <w:color w:val="6B6B6B"/>
        <w:sz w:val="16"/>
        <w:szCs w:val="16"/>
      </w:rPr>
      <w:fldChar w:fldCharType="separate"/>
    </w:r>
    <w:r>
      <w:rPr>
        <w:noProof/>
        <w:color w:val="6B6B6B"/>
        <w:sz w:val="16"/>
        <w:szCs w:val="16"/>
      </w:rPr>
      <w:t>2</w:t>
    </w:r>
    <w:r>
      <w:rPr>
        <w:color w:val="6B6B6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5ABE7" w14:textId="77777777" w:rsidR="0010703F" w:rsidRDefault="0010703F">
      <w:pPr>
        <w:spacing w:line="240" w:lineRule="auto"/>
      </w:pPr>
      <w:r>
        <w:separator/>
      </w:r>
    </w:p>
  </w:footnote>
  <w:footnote w:type="continuationSeparator" w:id="0">
    <w:p w14:paraId="2A55D749" w14:textId="77777777" w:rsidR="0010703F" w:rsidRDefault="0010703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7325"/>
    <w:multiLevelType w:val="hybridMultilevel"/>
    <w:tmpl w:val="64069C10"/>
    <w:lvl w:ilvl="0" w:tplc="AA68FAC4">
      <w:start w:val="1"/>
      <w:numFmt w:val="bullet"/>
      <w:lvlText w:val="•"/>
      <w:lvlJc w:val="left"/>
      <w:pPr>
        <w:ind w:left="360" w:hanging="240"/>
      </w:pPr>
      <w:rPr>
        <w:color w:val="2E7D32"/>
      </w:rPr>
    </w:lvl>
    <w:lvl w:ilvl="1" w:tplc="E7101066">
      <w:numFmt w:val="decimal"/>
      <w:lvlText w:val=""/>
      <w:lvlJc w:val="left"/>
    </w:lvl>
    <w:lvl w:ilvl="2" w:tplc="5E0205EA">
      <w:numFmt w:val="decimal"/>
      <w:lvlText w:val=""/>
      <w:lvlJc w:val="left"/>
    </w:lvl>
    <w:lvl w:ilvl="3" w:tplc="5D4811F4">
      <w:numFmt w:val="decimal"/>
      <w:lvlText w:val=""/>
      <w:lvlJc w:val="left"/>
    </w:lvl>
    <w:lvl w:ilvl="4" w:tplc="081208F2">
      <w:numFmt w:val="decimal"/>
      <w:lvlText w:val=""/>
      <w:lvlJc w:val="left"/>
    </w:lvl>
    <w:lvl w:ilvl="5" w:tplc="A976BD9A">
      <w:numFmt w:val="decimal"/>
      <w:lvlText w:val=""/>
      <w:lvlJc w:val="left"/>
    </w:lvl>
    <w:lvl w:ilvl="6" w:tplc="4BFEB7A4">
      <w:numFmt w:val="decimal"/>
      <w:lvlText w:val=""/>
      <w:lvlJc w:val="left"/>
    </w:lvl>
    <w:lvl w:ilvl="7" w:tplc="9CEECBC0">
      <w:numFmt w:val="decimal"/>
      <w:lvlText w:val=""/>
      <w:lvlJc w:val="left"/>
    </w:lvl>
    <w:lvl w:ilvl="8" w:tplc="18B2CCC0">
      <w:numFmt w:val="decimal"/>
      <w:lvlText w:val=""/>
      <w:lvlJc w:val="left"/>
    </w:lvl>
  </w:abstractNum>
  <w:abstractNum w:abstractNumId="1" w15:restartNumberingAfterBreak="0">
    <w:nsid w:val="2AB65259"/>
    <w:multiLevelType w:val="hybridMultilevel"/>
    <w:tmpl w:val="D5E09404"/>
    <w:lvl w:ilvl="0" w:tplc="E43A3F56">
      <w:start w:val="1"/>
      <w:numFmt w:val="bullet"/>
      <w:lvlText w:val="●"/>
      <w:lvlJc w:val="left"/>
      <w:pPr>
        <w:ind w:left="720" w:hanging="360"/>
      </w:pPr>
    </w:lvl>
    <w:lvl w:ilvl="1" w:tplc="36CE006A">
      <w:start w:val="1"/>
      <w:numFmt w:val="bullet"/>
      <w:lvlText w:val="○"/>
      <w:lvlJc w:val="left"/>
      <w:pPr>
        <w:ind w:left="1440" w:hanging="360"/>
      </w:pPr>
    </w:lvl>
    <w:lvl w:ilvl="2" w:tplc="51EAEDE2">
      <w:start w:val="1"/>
      <w:numFmt w:val="bullet"/>
      <w:lvlText w:val="■"/>
      <w:lvlJc w:val="left"/>
      <w:pPr>
        <w:ind w:left="2160" w:hanging="360"/>
      </w:pPr>
    </w:lvl>
    <w:lvl w:ilvl="3" w:tplc="97A4112E">
      <w:start w:val="1"/>
      <w:numFmt w:val="bullet"/>
      <w:lvlText w:val="●"/>
      <w:lvlJc w:val="left"/>
      <w:pPr>
        <w:ind w:left="2880" w:hanging="360"/>
      </w:pPr>
    </w:lvl>
    <w:lvl w:ilvl="4" w:tplc="5816D04C">
      <w:start w:val="1"/>
      <w:numFmt w:val="bullet"/>
      <w:lvlText w:val="○"/>
      <w:lvlJc w:val="left"/>
      <w:pPr>
        <w:ind w:left="3600" w:hanging="360"/>
      </w:pPr>
    </w:lvl>
    <w:lvl w:ilvl="5" w:tplc="A0A460FA">
      <w:start w:val="1"/>
      <w:numFmt w:val="bullet"/>
      <w:lvlText w:val="■"/>
      <w:lvlJc w:val="left"/>
      <w:pPr>
        <w:ind w:left="4320" w:hanging="360"/>
      </w:pPr>
    </w:lvl>
    <w:lvl w:ilvl="6" w:tplc="D7E86060">
      <w:start w:val="1"/>
      <w:numFmt w:val="bullet"/>
      <w:lvlText w:val="●"/>
      <w:lvlJc w:val="left"/>
      <w:pPr>
        <w:ind w:left="5040" w:hanging="360"/>
      </w:pPr>
    </w:lvl>
    <w:lvl w:ilvl="7" w:tplc="9B545606">
      <w:start w:val="1"/>
      <w:numFmt w:val="bullet"/>
      <w:lvlText w:val="●"/>
      <w:lvlJc w:val="left"/>
      <w:pPr>
        <w:ind w:left="5760" w:hanging="360"/>
      </w:pPr>
    </w:lvl>
    <w:lvl w:ilvl="8" w:tplc="74F0B8A2">
      <w:start w:val="1"/>
      <w:numFmt w:val="bullet"/>
      <w:lvlText w:val="●"/>
      <w:lvlJc w:val="left"/>
      <w:pPr>
        <w:ind w:left="6480" w:hanging="360"/>
      </w:pPr>
    </w:lvl>
  </w:abstractNum>
  <w:num w:numId="1" w16cid:durableId="1027951985">
    <w:abstractNumId w:val="1"/>
    <w:lvlOverride w:ilvl="0">
      <w:startOverride w:val="1"/>
    </w:lvlOverride>
  </w:num>
  <w:num w:numId="2" w16cid:durableId="18238163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8BE"/>
    <w:rsid w:val="0010703F"/>
    <w:rsid w:val="00670844"/>
    <w:rsid w:val="00C678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A8EBA"/>
  <w15:docId w15:val="{FBF2E4C1-4B68-481A-8FC9-7C0CC7448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1F1F1F"/>
        <w:sz w:val="21"/>
        <w:szCs w:val="21"/>
        <w:lang w:val="fr-FR" w:eastAsia="fr-FR" w:bidi="ar-SA"/>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pPr>
      <w:spacing w:line="240" w:lineRule="auto"/>
    </w:pPr>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pPr>
      <w:spacing w:line="240" w:lineRule="auto"/>
    </w:pPr>
    <w:rPr>
      <w:sz w:val="20"/>
      <w:szCs w:val="20"/>
    </w:rPr>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608</Words>
  <Characters>3350</Characters>
  <Application>Microsoft Office Word</Application>
  <DocSecurity>4</DocSecurity>
  <Lines>27</Lines>
  <Paragraphs>7</Paragraphs>
  <ScaleCrop>false</ScaleCrop>
  <Company>Région Sud Provence-Alpes-Côte d'Azur</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BETORZ STEPHANE</cp:lastModifiedBy>
  <cp:revision>2</cp:revision>
  <dcterms:created xsi:type="dcterms:W3CDTF">2026-09-10T06:25:00Z</dcterms:created>
  <dcterms:modified xsi:type="dcterms:W3CDTF">2026-09-10T06:25:00Z</dcterms:modified>
</cp:coreProperties>
</file>